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before="6" w:after="6"/>
        <w:rPr>
          <w:rFonts w:ascii="Century Gothic" w:hAnsi="Century Gothic"/>
          <w:b/>
        </w:rPr>
      </w:pPr>
    </w:p>
    <w:p>
      <w:pPr>
        <w:spacing w:before="6" w:after="6"/>
        <w:rPr>
          <w:rFonts w:ascii="Century Gothic" w:hAnsi="Century Gothic"/>
          <w:b/>
        </w:rPr>
      </w:pPr>
      <w:r>
        <w:rPr>
          <w:rFonts w:ascii="Century Gothic" w:hAnsi="Century Gothic"/>
          <w:b/>
        </w:rPr>
        <w:t>MEDIA RELEASE</w:t>
      </w:r>
    </w:p>
    <w:p>
      <w:pPr>
        <w:spacing w:before="6" w:after="6"/>
        <w:rPr>
          <w:rFonts w:ascii="Century Gothic" w:hAnsi="Century Gothic"/>
        </w:rPr>
      </w:pPr>
      <w:r>
        <w:rPr>
          <w:rFonts w:ascii="Century Gothic" w:hAnsi="Century Gothic"/>
          <w:i/>
        </w:rPr>
        <w:t>For immediate release</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 xml:space="preserve">               December 2014</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p>
    <w:p>
      <w:pPr>
        <w:spacing w:beforeLines="120" w:before="288" w:afterLines="120" w:after="288" w:line="360" w:lineRule="auto"/>
        <w:jc w:val="center"/>
        <w:rPr>
          <w:rFonts w:ascii="Century Gothic" w:hAnsi="Century Gothic"/>
          <w:b/>
        </w:rPr>
      </w:pPr>
      <w:r>
        <w:rPr>
          <w:rFonts w:ascii="AvantGarde" w:hAnsi="AvantGarde"/>
          <w:b/>
          <w:bCs/>
          <w:color w:val="012169"/>
          <w:sz w:val="24"/>
          <w:szCs w:val="24"/>
        </w:rPr>
        <w:t>Tax depreciation may assist in winning property managements</w:t>
      </w:r>
    </w:p>
    <w:p>
      <w:pPr>
        <w:spacing w:beforeLines="120" w:before="288" w:afterLines="120" w:after="288" w:line="360" w:lineRule="auto"/>
        <w:rPr>
          <w:rFonts w:ascii="Century Gothic" w:hAnsi="Century Gothic"/>
          <w:sz w:val="20"/>
          <w:szCs w:val="20"/>
        </w:rPr>
      </w:pPr>
      <w:r>
        <w:rPr>
          <w:rFonts w:ascii="Century Gothic" w:hAnsi="Century Gothic"/>
          <w:color w:val="000000" w:themeColor="text1"/>
          <w:sz w:val="20"/>
          <w:szCs w:val="20"/>
        </w:rPr>
        <w:t xml:space="preserve">Australia’s leading tax depreciation specialist, BMT, </w:t>
      </w:r>
      <w:r>
        <w:rPr>
          <w:rFonts w:ascii="Century Gothic" w:hAnsi="Century Gothic"/>
          <w:sz w:val="20"/>
          <w:szCs w:val="20"/>
        </w:rPr>
        <w:t>believes the chance of winning a property management can be strengthened by raising awareness of tax depreciation schedules when negotiating to secure the contract.</w:t>
      </w:r>
    </w:p>
    <w:p>
      <w:pPr>
        <w:spacing w:beforeLines="120" w:before="288" w:afterLines="120" w:after="288" w:line="360" w:lineRule="auto"/>
        <w:rPr>
          <w:rFonts w:ascii="Century Gothic" w:hAnsi="Century Gothic"/>
          <w:sz w:val="20"/>
          <w:szCs w:val="20"/>
        </w:rPr>
      </w:pPr>
      <w:r>
        <w:rPr>
          <w:rFonts w:ascii="Century Gothic" w:hAnsi="Century Gothic"/>
          <w:sz w:val="20"/>
          <w:szCs w:val="20"/>
        </w:rPr>
        <w:t>“Property managers are responsible for a large range of functions, however those able to leverage additional knowledge on their clients’ investment will demonstrate an ability to add further value to a management,” said BMT managing director, Brad Beer.</w:t>
      </w:r>
    </w:p>
    <w:p>
      <w:pPr>
        <w:spacing w:beforeLines="120" w:before="288" w:afterLines="120" w:after="288" w:line="360" w:lineRule="auto"/>
        <w:rPr>
          <w:rFonts w:ascii="Century Gothic" w:hAnsi="Century Gothic"/>
          <w:sz w:val="20"/>
          <w:szCs w:val="20"/>
        </w:rPr>
      </w:pPr>
      <w:r>
        <w:rPr>
          <w:rFonts w:ascii="Century Gothic" w:hAnsi="Century Gothic"/>
          <w:sz w:val="20"/>
          <w:szCs w:val="20"/>
        </w:rPr>
        <w:t>“This will provide them with a clear advantage over their competition than if they were to solely focus on the functions which property owners might typically expect from a property manager.”</w:t>
      </w:r>
    </w:p>
    <w:p>
      <w:pPr>
        <w:spacing w:beforeLines="120" w:before="288" w:afterLines="120" w:after="288" w:line="360" w:lineRule="auto"/>
        <w:rPr>
          <w:rFonts w:ascii="Century Gothic" w:hAnsi="Century Gothic"/>
          <w:sz w:val="20"/>
          <w:szCs w:val="20"/>
        </w:rPr>
      </w:pPr>
      <w:r>
        <w:rPr>
          <w:rFonts w:ascii="Century Gothic" w:hAnsi="Century Gothic"/>
          <w:sz w:val="20"/>
          <w:szCs w:val="20"/>
        </w:rPr>
        <w:t>LJ Hooker Taree Principal and Licensee in Charge, Amanda Tate, has a portfolio of around 700 properties under management and also believes that educating landlords on how to maximise their investment is crucial for generating trust and bringing negotiations over the line.</w:t>
      </w:r>
    </w:p>
    <w:p>
      <w:pPr>
        <w:spacing w:beforeLines="120" w:before="288" w:afterLines="120" w:after="288" w:line="360" w:lineRule="auto"/>
        <w:rPr>
          <w:rFonts w:ascii="Century Gothic" w:hAnsi="Century Gothic"/>
          <w:sz w:val="20"/>
          <w:szCs w:val="20"/>
        </w:rPr>
      </w:pPr>
      <w:r>
        <w:rPr>
          <w:rFonts w:ascii="Century Gothic" w:hAnsi="Century Gothic"/>
          <w:sz w:val="20"/>
          <w:szCs w:val="20"/>
        </w:rPr>
        <w:t>“Knowledge is power and if you demonstrate greater knowledge than the investor, a trusting relationship is much easier to form,” said Amanda Tate.</w:t>
      </w:r>
    </w:p>
    <w:p>
      <w:pPr>
        <w:spacing w:beforeLines="120" w:before="288" w:afterLines="120" w:after="288" w:line="360" w:lineRule="auto"/>
        <w:rPr>
          <w:rFonts w:ascii="Century Gothic" w:hAnsi="Century Gothic"/>
          <w:sz w:val="20"/>
          <w:szCs w:val="20"/>
        </w:rPr>
      </w:pPr>
      <w:r>
        <w:rPr>
          <w:rFonts w:ascii="Century Gothic" w:hAnsi="Century Gothic"/>
          <w:sz w:val="20"/>
          <w:szCs w:val="20"/>
        </w:rPr>
        <w:t>“By discussing ways to maximise cash flows from the property other than just helping them achieve the best rent, such as by using depreciation schedules, you can create customers for life from the savings they receive.</w:t>
      </w:r>
    </w:p>
    <w:p>
      <w:pPr>
        <w:spacing w:beforeLines="120" w:before="288" w:afterLines="120" w:after="288" w:line="360" w:lineRule="auto"/>
        <w:rPr>
          <w:rFonts w:ascii="Century Gothic" w:hAnsi="Century Gothic"/>
          <w:sz w:val="20"/>
          <w:szCs w:val="20"/>
        </w:rPr>
      </w:pPr>
      <w:r>
        <w:rPr>
          <w:rFonts w:ascii="Century Gothic" w:hAnsi="Century Gothic"/>
          <w:sz w:val="20"/>
          <w:szCs w:val="20"/>
        </w:rPr>
        <w:t>“It can also make you look like a much more professional and well-rounded outfit, and shows you care about ensuring your clients receive the best possible financial outcome,” said Amanda Tate.</w:t>
      </w:r>
    </w:p>
    <w:p>
      <w:pPr>
        <w:spacing w:beforeLines="120" w:before="288" w:afterLines="120" w:after="288" w:line="360" w:lineRule="auto"/>
        <w:rPr>
          <w:rFonts w:ascii="Century Gothic" w:hAnsi="Century Gothic"/>
          <w:sz w:val="20"/>
          <w:szCs w:val="20"/>
        </w:rPr>
      </w:pPr>
      <w:r>
        <w:rPr>
          <w:rFonts w:ascii="Century Gothic" w:hAnsi="Century Gothic"/>
          <w:sz w:val="20"/>
          <w:szCs w:val="20"/>
        </w:rPr>
        <w:lastRenderedPageBreak/>
        <w:t>Tate has had firsthand experience of the benefits of using tax depreciation knowledge as a tool for securing property management agreements.</w:t>
      </w:r>
    </w:p>
    <w:p>
      <w:pPr>
        <w:spacing w:beforeLines="120" w:before="288" w:afterLines="120" w:after="288" w:line="360" w:lineRule="auto"/>
        <w:rPr>
          <w:rFonts w:ascii="Century Gothic" w:hAnsi="Century Gothic"/>
          <w:sz w:val="20"/>
          <w:szCs w:val="20"/>
        </w:rPr>
      </w:pPr>
      <w:r>
        <w:rPr>
          <w:rFonts w:ascii="Century Gothic" w:hAnsi="Century Gothic"/>
          <w:sz w:val="20"/>
          <w:szCs w:val="20"/>
        </w:rPr>
        <w:t>“We recently won 11 new managements from one investor because he believed we were experts due to our approach of educating him on the whole process around investing,” said Amanda Tate.</w:t>
      </w:r>
    </w:p>
    <w:p>
      <w:pPr>
        <w:spacing w:beforeLines="120" w:before="288" w:afterLines="120" w:after="288" w:line="360" w:lineRule="auto"/>
        <w:rPr>
          <w:rFonts w:ascii="Century Gothic" w:hAnsi="Century Gothic"/>
          <w:sz w:val="20"/>
          <w:szCs w:val="20"/>
        </w:rPr>
      </w:pPr>
      <w:r>
        <w:rPr>
          <w:rFonts w:ascii="Century Gothic" w:hAnsi="Century Gothic"/>
          <w:sz w:val="20"/>
          <w:szCs w:val="20"/>
        </w:rPr>
        <w:t>“We were competing against every agent in Taree, one of whom even offered free managements for up to 12 months, however our ability to demonstrate a greater degree of knowledge was what I believe pulled us over the line in the end,” concluded Amanda Tate.</w:t>
      </w:r>
    </w:p>
    <w:p>
      <w:pPr>
        <w:spacing w:beforeLines="120" w:before="288" w:afterLines="120" w:after="288" w:line="360" w:lineRule="auto"/>
        <w:rPr>
          <w:rFonts w:ascii="Century Gothic" w:hAnsi="Century Gothic"/>
          <w:sz w:val="20"/>
          <w:szCs w:val="20"/>
        </w:rPr>
      </w:pPr>
      <w:r>
        <w:rPr>
          <w:rFonts w:ascii="Century Gothic" w:hAnsi="Century Gothic"/>
          <w:sz w:val="20"/>
          <w:szCs w:val="20"/>
        </w:rPr>
        <w:t>Earlier research by BMT uncovered that as many as eight out of ten property owners were not claiming depreciation where they were eligible to do so.</w:t>
      </w:r>
    </w:p>
    <w:p>
      <w:pPr>
        <w:spacing w:beforeLines="120" w:before="288" w:afterLines="120" w:after="288" w:line="360" w:lineRule="auto"/>
        <w:rPr>
          <w:rFonts w:ascii="Century Gothic" w:hAnsi="Century Gothic"/>
          <w:sz w:val="20"/>
          <w:szCs w:val="20"/>
        </w:rPr>
      </w:pPr>
      <w:r>
        <w:rPr>
          <w:rFonts w:ascii="Century Gothic" w:hAnsi="Century Gothic"/>
          <w:sz w:val="20"/>
          <w:szCs w:val="20"/>
        </w:rPr>
        <w:t>“There are significant amounts which can be claimed on income-producing buildings which many property owners remain unaware of, so we welcome any property managers wishing to know more about tax depreciation schedules to contact us for a confidential discussion,” concluded Brad Beer.</w:t>
      </w:r>
    </w:p>
    <w:p>
      <w:pPr>
        <w:spacing w:beforeLines="120" w:before="288" w:afterLines="120" w:after="288" w:line="360" w:lineRule="auto"/>
        <w:rPr>
          <w:rFonts w:ascii="Century Gothic" w:hAnsi="Century Gothic"/>
          <w:b/>
          <w:bCs/>
        </w:rPr>
      </w:pPr>
      <w:r>
        <w:rPr>
          <w:rFonts w:ascii="Century Gothic" w:hAnsi="Century Gothic"/>
          <w:b/>
          <w:bCs/>
        </w:rPr>
        <w:t>*ENDS*</w:t>
      </w:r>
    </w:p>
    <w:p>
      <w:pPr>
        <w:spacing w:beforeLines="120" w:before="288" w:afterLines="120" w:after="288" w:line="360" w:lineRule="auto"/>
        <w:rPr>
          <w:rStyle w:val="Hyperlink"/>
          <w:rFonts w:ascii="Century Gothic" w:hAnsi="Century Gothic"/>
          <w:b/>
          <w:color w:val="000000" w:themeColor="text1"/>
        </w:rPr>
      </w:pPr>
      <w:r>
        <w:rPr>
          <w:rFonts w:ascii="Century Gothic" w:hAnsi="Century Gothic"/>
          <w:b/>
        </w:rPr>
        <w:t>Media contact:</w:t>
      </w:r>
      <w:r>
        <w:rPr>
          <w:rFonts w:ascii="Century Gothic" w:hAnsi="Century Gothic"/>
        </w:rPr>
        <w:t xml:space="preserve"> Brad Beer, 0413 271 777, </w:t>
      </w:r>
      <w:hyperlink r:id="rId7" w:history="1">
        <w:r>
          <w:rPr>
            <w:rStyle w:val="Hyperlink"/>
            <w:rFonts w:ascii="Century Gothic" w:hAnsi="Century Gothic"/>
          </w:rPr>
          <w:t>brad.beer@bmtnews.com.au</w:t>
        </w:r>
      </w:hyperlink>
      <w:r>
        <w:rPr>
          <w:rFonts w:ascii="Century Gothic" w:hAnsi="Century Gothic"/>
        </w:rPr>
        <w:br/>
      </w:r>
      <w:r>
        <w:rPr>
          <w:rStyle w:val="Hyperlink"/>
          <w:rFonts w:ascii="Century Gothic" w:hAnsi="Century Gothic"/>
          <w:b/>
          <w:color w:val="000000" w:themeColor="text1"/>
        </w:rPr>
        <w:br/>
        <w:t>About BMT Tax Depreciation</w:t>
      </w:r>
    </w:p>
    <w:p>
      <w:pPr>
        <w:spacing w:line="360" w:lineRule="auto"/>
        <w:jc w:val="both"/>
        <w:rPr>
          <w:rFonts w:ascii="Century Gothic" w:hAnsi="Century Gothic"/>
          <w:sz w:val="20"/>
          <w:szCs w:val="20"/>
        </w:rPr>
      </w:pPr>
      <w:r>
        <w:rPr>
          <w:rStyle w:val="Hyperlink"/>
          <w:rFonts w:ascii="Century Gothic" w:hAnsi="Century Gothic"/>
          <w:color w:val="000000" w:themeColor="text1"/>
          <w:sz w:val="20"/>
          <w:szCs w:val="20"/>
        </w:rPr>
        <w:t xml:space="preserve">BMT </w:t>
      </w:r>
      <w:r>
        <w:rPr>
          <w:rFonts w:ascii="Century Gothic" w:hAnsi="Century Gothic"/>
          <w:sz w:val="20"/>
          <w:szCs w:val="20"/>
        </w:rPr>
        <w:t xml:space="preserve">Tax Depreciation (BMT) </w:t>
      </w:r>
      <w:r>
        <w:rPr>
          <w:rStyle w:val="Hyperlink"/>
          <w:rFonts w:ascii="Century Gothic" w:hAnsi="Century Gothic"/>
          <w:color w:val="000000" w:themeColor="text1"/>
          <w:sz w:val="20"/>
          <w:szCs w:val="20"/>
        </w:rPr>
        <w:t>is a Quantity Surveying company specialising in the provision of tax depreciation schedules for residential and commercial investment properties. Commencing business in 1997</w:t>
      </w:r>
      <w:r>
        <w:rPr>
          <w:rFonts w:ascii="Century Gothic" w:hAnsi="Century Gothic"/>
          <w:sz w:val="20"/>
          <w:szCs w:val="20"/>
        </w:rPr>
        <w:t>, demand from property investors nationally has seen business expand Australia-wide with offices now located in Sydney, Parramatta, Melbourne, Brisbane, Newcastle, Adelaide, Perth, Gold Coast, Cairns, Canberra, Hobart and Darwin.</w:t>
      </w:r>
      <w:bookmarkStart w:id="0" w:name="_GoBack"/>
      <w:bookmarkEnd w:id="0"/>
    </w:p>
    <w:sectPr>
      <w:headerReference w:type="default" r:id="rId8"/>
      <w:footerReference w:type="default" r:id="rId9"/>
      <w:pgSz w:w="12240" w:h="15840"/>
      <w:pgMar w:top="0" w:right="1183" w:bottom="709" w:left="1134" w:header="708" w:footer="1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vantGarde">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ind w:right="-142"/>
      <w:jc w:val="right"/>
      <w:rPr>
        <w:noProof/>
        <w:lang w:eastAsia="en-AU"/>
      </w:rPr>
    </w:pPr>
  </w:p>
  <w:p>
    <w:pPr>
      <w:ind w:right="-142"/>
      <w:jc w:val="right"/>
      <w:rPr>
        <w:noProof/>
        <w:lang w:eastAsia="en-AU"/>
      </w:rPr>
    </w:pPr>
    <w:r>
      <w:rPr>
        <w:noProof/>
        <w:lang w:eastAsia="en-AU"/>
      </w:rPr>
      <w:drawing>
        <wp:inline distT="0" distB="0" distL="0" distR="0">
          <wp:extent cx="6293796" cy="1254868"/>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ic Letterhead Image.jpg"/>
                  <pic:cNvPicPr/>
                </pic:nvPicPr>
                <pic:blipFill rotWithShape="1">
                  <a:blip r:embed="rId1">
                    <a:extLst>
                      <a:ext uri="{28A0092B-C50C-407E-A947-70E740481C1C}">
                        <a14:useLocalDpi xmlns:a14="http://schemas.microsoft.com/office/drawing/2010/main" val="0"/>
                      </a:ext>
                    </a:extLst>
                  </a:blip>
                  <a:srcRect t="16216" b="14046"/>
                  <a:stretch/>
                </pic:blipFill>
                <pic:spPr bwMode="auto">
                  <a:xfrm>
                    <a:off x="0" y="0"/>
                    <a:ext cx="6301105" cy="1256325"/>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en-AU"/>
      </w:rPr>
      <w:t xml:space="preserve"> </w:t>
    </w:r>
    <w:r>
      <w:rPr>
        <w:noProof/>
        <w:lang w:eastAsia="en-AU"/>
      </w:rPr>
      <mc:AlternateContent>
        <mc:Choice Requires="wps">
          <w:drawing>
            <wp:anchor distT="4294967295" distB="4294967295" distL="114300" distR="114300" simplePos="0" relativeHeight="251659264" behindDoc="0" locked="0" layoutInCell="1" allowOverlap="1">
              <wp:simplePos x="0" y="0"/>
              <wp:positionH relativeFrom="column">
                <wp:posOffset>-73660</wp:posOffset>
              </wp:positionH>
              <wp:positionV relativeFrom="paragraph">
                <wp:posOffset>-50166</wp:posOffset>
              </wp:positionV>
              <wp:extent cx="6412865" cy="0"/>
              <wp:effectExtent l="0" t="19050" r="698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2865" cy="0"/>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8pt,-3.95pt" to="499.1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" strokecolor="#1f497d [3215]" strokeweight="2.25pt">
              <o:lock v:ext="edit" shapetype="f"/>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tabs>
        <w:tab w:val="clear" w:pos="4320"/>
        <w:tab w:val="clear" w:pos="8640"/>
      </w:tabs>
      <w:jc w:val="center"/>
    </w:pPr>
    <w:r>
      <w:rPr>
        <w:noProof/>
        <w:lang w:eastAsia="en-AU"/>
      </w:rPr>
      <w:drawing>
        <wp:inline distT="0" distB="0" distL="0" distR="0">
          <wp:extent cx="2660400" cy="723600"/>
          <wp:effectExtent l="0" t="0" r="698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MT Tax Depreciation.jpg"/>
                  <pic:cNvPicPr/>
                </pic:nvPicPr>
                <pic:blipFill rotWithShape="1">
                  <a:blip r:embed="rId1">
                    <a:extLst>
                      <a:ext uri="{28A0092B-C50C-407E-A947-70E740481C1C}">
                        <a14:useLocalDpi xmlns:a14="http://schemas.microsoft.com/office/drawing/2010/main" val="0"/>
                      </a:ext>
                    </a:extLst>
                  </a:blip>
                  <a:srcRect l="6697" r="4910"/>
                  <a:stretch/>
                </pic:blipFill>
                <pic:spPr bwMode="auto">
                  <a:xfrm>
                    <a:off x="0" y="0"/>
                    <a:ext cx="2660400" cy="723600"/>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5:docId w15:val="{F6F982C4-E3C7-4923-A800-FA53C3FBB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60" w:after="60"/>
    </w:pPr>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en-AU"/>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lang w:val="en-AU"/>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lang w:val="en-AU"/>
    </w:rPr>
  </w:style>
  <w:style w:type="character" w:styleId="Emphasis">
    <w:name w:val="Emphasis"/>
    <w:basedOn w:val="DefaultParagraphFont"/>
    <w:uiPriority w:val="20"/>
    <w:qFormat/>
    <w:locked/>
    <w:rPr>
      <w:b/>
      <w:bCs/>
      <w:i w:val="0"/>
      <w:iCs w:val="0"/>
    </w:rPr>
  </w:style>
  <w:style w:type="paragraph" w:styleId="PlainText">
    <w:name w:val="Plain Text"/>
    <w:basedOn w:val="Normal"/>
    <w:link w:val="PlainTextChar"/>
    <w:uiPriority w:val="99"/>
    <w:unhideWhenUsed/>
    <w:pPr>
      <w:spacing w:before="0" w:after="0"/>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Pr>
      <w:rFonts w:ascii="Consolas" w:eastAsiaTheme="minorHAnsi" w:hAnsi="Consolas" w:cs="Consolas"/>
      <w:sz w:val="21"/>
      <w:szCs w:val="21"/>
      <w:lang w:val="en-AU"/>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sz w:val="24"/>
      <w:szCs w:val="24"/>
      <w:lang w:eastAsia="en-AU"/>
    </w:rPr>
  </w:style>
  <w:style w:type="character" w:styleId="Hyperlink">
    <w:name w:val="Hyperlink"/>
    <w:basedOn w:val="DefaultParagraphFont"/>
    <w:uiPriority w:val="99"/>
    <w:unhideWhenUsed/>
    <w:rPr>
      <w:strike w:val="0"/>
      <w:dstrike w:val="0"/>
      <w:color w:val="00548C"/>
      <w:u w:val="none"/>
      <w:effect w:val="none"/>
    </w:rPr>
  </w:style>
  <w:style w:type="character" w:styleId="Strong">
    <w:name w:val="Strong"/>
    <w:basedOn w:val="DefaultParagraphFont"/>
    <w:uiPriority w:val="22"/>
    <w:qFormat/>
    <w:locked/>
    <w:rPr>
      <w:b/>
      <w:bCs/>
    </w:rPr>
  </w:style>
  <w:style w:type="paragraph" w:styleId="FootnoteText">
    <w:name w:val="footnote text"/>
    <w:basedOn w:val="Normal"/>
    <w:link w:val="FootnoteTextChar"/>
    <w:uiPriority w:val="99"/>
    <w:semiHidden/>
    <w:unhideWhenUsed/>
    <w:pPr>
      <w:spacing w:before="0" w:after="0"/>
    </w:pPr>
    <w:rPr>
      <w:sz w:val="20"/>
      <w:szCs w:val="20"/>
    </w:rPr>
  </w:style>
  <w:style w:type="character" w:customStyle="1" w:styleId="FootnoteTextChar">
    <w:name w:val="Footnote Text Char"/>
    <w:basedOn w:val="DefaultParagraphFont"/>
    <w:link w:val="FootnoteText"/>
    <w:uiPriority w:val="99"/>
    <w:semiHidden/>
    <w:rPr>
      <w:sz w:val="20"/>
      <w:szCs w:val="20"/>
      <w:lang w:val="en-AU"/>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lang w:val="en-AU"/>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AU"/>
    </w:rPr>
  </w:style>
  <w:style w:type="paragraph" w:styleId="ListParagraph">
    <w:name w:val="List Paragraph"/>
    <w:basedOn w:val="Normal"/>
    <w:uiPriority w:val="34"/>
    <w:qFormat/>
    <w:pPr>
      <w:spacing w:before="0" w:after="0"/>
      <w:ind w:left="720"/>
    </w:pPr>
    <w:rPr>
      <w:rFonts w:eastAsiaTheme="minorHAnsi"/>
    </w:rPr>
  </w:style>
  <w:style w:type="paragraph" w:customStyle="1" w:styleId="answer">
    <w:name w:val="answer"/>
    <w:basedOn w:val="Normal"/>
    <w:pPr>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70504">
      <w:bodyDiv w:val="1"/>
      <w:marLeft w:val="0"/>
      <w:marRight w:val="0"/>
      <w:marTop w:val="0"/>
      <w:marBottom w:val="0"/>
      <w:divBdr>
        <w:top w:val="none" w:sz="0" w:space="0" w:color="auto"/>
        <w:left w:val="none" w:sz="0" w:space="0" w:color="auto"/>
        <w:bottom w:val="none" w:sz="0" w:space="0" w:color="auto"/>
        <w:right w:val="none" w:sz="0" w:space="0" w:color="auto"/>
      </w:divBdr>
    </w:div>
    <w:div w:id="819270170">
      <w:bodyDiv w:val="1"/>
      <w:marLeft w:val="0"/>
      <w:marRight w:val="0"/>
      <w:marTop w:val="0"/>
      <w:marBottom w:val="0"/>
      <w:divBdr>
        <w:top w:val="none" w:sz="0" w:space="0" w:color="auto"/>
        <w:left w:val="none" w:sz="0" w:space="0" w:color="auto"/>
        <w:bottom w:val="none" w:sz="0" w:space="0" w:color="auto"/>
        <w:right w:val="none" w:sz="0" w:space="0" w:color="auto"/>
      </w:divBdr>
    </w:div>
    <w:div w:id="889148040">
      <w:bodyDiv w:val="1"/>
      <w:marLeft w:val="0"/>
      <w:marRight w:val="0"/>
      <w:marTop w:val="0"/>
      <w:marBottom w:val="0"/>
      <w:divBdr>
        <w:top w:val="none" w:sz="0" w:space="0" w:color="auto"/>
        <w:left w:val="none" w:sz="0" w:space="0" w:color="auto"/>
        <w:bottom w:val="none" w:sz="0" w:space="0" w:color="auto"/>
        <w:right w:val="none" w:sz="0" w:space="0" w:color="auto"/>
      </w:divBdr>
    </w:div>
    <w:div w:id="937755084">
      <w:bodyDiv w:val="1"/>
      <w:marLeft w:val="0"/>
      <w:marRight w:val="0"/>
      <w:marTop w:val="0"/>
      <w:marBottom w:val="0"/>
      <w:divBdr>
        <w:top w:val="none" w:sz="0" w:space="0" w:color="auto"/>
        <w:left w:val="none" w:sz="0" w:space="0" w:color="auto"/>
        <w:bottom w:val="none" w:sz="0" w:space="0" w:color="auto"/>
        <w:right w:val="none" w:sz="0" w:space="0" w:color="auto"/>
      </w:divBdr>
    </w:div>
    <w:div w:id="967859330">
      <w:bodyDiv w:val="1"/>
      <w:marLeft w:val="0"/>
      <w:marRight w:val="0"/>
      <w:marTop w:val="0"/>
      <w:marBottom w:val="0"/>
      <w:divBdr>
        <w:top w:val="none" w:sz="0" w:space="0" w:color="auto"/>
        <w:left w:val="none" w:sz="0" w:space="0" w:color="auto"/>
        <w:bottom w:val="none" w:sz="0" w:space="0" w:color="auto"/>
        <w:right w:val="none" w:sz="0" w:space="0" w:color="auto"/>
      </w:divBdr>
    </w:div>
    <w:div w:id="1088307822">
      <w:bodyDiv w:val="1"/>
      <w:marLeft w:val="0"/>
      <w:marRight w:val="0"/>
      <w:marTop w:val="0"/>
      <w:marBottom w:val="0"/>
      <w:divBdr>
        <w:top w:val="none" w:sz="0" w:space="0" w:color="auto"/>
        <w:left w:val="none" w:sz="0" w:space="0" w:color="auto"/>
        <w:bottom w:val="none" w:sz="0" w:space="0" w:color="auto"/>
        <w:right w:val="none" w:sz="0" w:space="0" w:color="auto"/>
      </w:divBdr>
    </w:div>
    <w:div w:id="152313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rad.beer@bmtnews.com.a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5C6D0-2169-4BE6-9078-F7E66B3AB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480</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dc:creator>
  <cp:lastModifiedBy>Rani Bonwick</cp:lastModifiedBy>
  <cp:revision>4</cp:revision>
  <cp:lastPrinted>2014-03-13T22:19:00Z</cp:lastPrinted>
  <dcterms:created xsi:type="dcterms:W3CDTF">2015-02-18T06:28:00Z</dcterms:created>
  <dcterms:modified xsi:type="dcterms:W3CDTF">2015-05-21T06:56:00Z</dcterms:modified>
</cp:coreProperties>
</file>